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Traffic-Routing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Traffic-Routing</w:t>
      </w:r>
    </w:p>
    <w:p>
      <w:pPr>
        <w:spacing w:after="40"/>
      </w:pPr>
      <w:r>
        <w:rPr>
          <w:b w:val="0"/>
          <w:i/>
          <w:color w:val="737373"/>
          <w:sz w:val="24"/>
        </w:rPr>
        <w:t>Weiterleitung von Subdomains an interne Docker-Container oder lokale Ports, Header-Manipulation und Websocket-Support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traffic-rou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