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WSGI/ASGI-Server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WSGI/ASGI-Server</w:t>
      </w:r>
    </w:p>
    <w:p>
      <w:pPr>
        <w:spacing w:after="40"/>
      </w:pPr>
      <w:r>
        <w:rPr>
          <w:b w:val="0"/>
          <w:i/>
          <w:color w:val="737373"/>
          <w:sz w:val="24"/>
        </w:rPr>
        <w:t>Bereitstellung von Django- oder FastAPI-Applikationen über Gunicorn oder Uvicorn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wsgiasgi-ser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